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3B" w:rsidRPr="006F673B" w:rsidRDefault="006F673B" w:rsidP="006F673B">
      <w:bookmarkStart w:id="0" w:name="bookmark=id.gjdgxs" w:colFirst="0" w:colLast="0"/>
      <w:bookmarkEnd w:id="0"/>
      <w:r w:rsidRPr="006F673B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5940425" cy="8462645"/>
            <wp:effectExtent l="0" t="0" r="3175" b="0"/>
            <wp:wrapSquare wrapText="bothSides"/>
            <wp:docPr id="1" name="Рисунок 1" descr="C:\Users\User\Downloads\сканы049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49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bookmark=id.30j0zll" w:colFirst="0" w:colLast="0"/>
      <w:bookmarkEnd w:id="1"/>
    </w:p>
    <w:p w:rsidR="006F673B" w:rsidRDefault="006F673B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5C0D9D" w:rsidRDefault="005C0D9D">
      <w:pPr>
        <w:spacing w:after="0" w:line="264" w:lineRule="auto"/>
        <w:ind w:left="120"/>
        <w:jc w:val="both"/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физической культуре для 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создании программы по физической культуре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поддержания здоровья и сохранения активного творческого долголетия. 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формировании основ программы по физической культуре использовались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духовно-нравственного развития и воспитания гражданина Российской Федерации, ориентирующая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формирования универсальных учебных действий, определяющая основы становления российской гражданской идентичност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обучающихся, активное их включение в культурную и общественную жизнь страны; 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Pr="006F673B" w:rsidRDefault="006F673B" w:rsidP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преподавания учебног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  <w:bookmarkStart w:id="2" w:name="_GoBack"/>
      <w:bookmarkEnd w:id="2"/>
    </w:p>
    <w:p w:rsidR="005C0D9D" w:rsidRDefault="006F673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концепция структуры и содержания учебного предмета «Физическая культура», обосновывающая направленность учебных программ на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функциональных и адаптивных возможностей систем организма, развитию жизненно важных физических качеств. 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обучения обучающихся в области физической культуры.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в программе по физической культуре по трём основным направлениям.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ориентированной физической культурой, обогащением двигательного опыта за счёт индивидуал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урной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Воспитывающая направленность программы заключаетс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деятельности, стремление к физическому совершенствованию и укреплению здоровья.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компонентами: информационным (знания о физической культуре),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усиления мотивационной составляющей учебного предмета, придания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личностно значимого смысла содержание программы по физической культуре представляется системой модулей,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структурными компонентами входят в раздел «Физическое совершенствование».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Инвариантные модули включают в себя содержание базовых видов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ащению двигательного опыта. </w:t>
      </w:r>
    </w:p>
    <w:p w:rsidR="005C0D9D" w:rsidRDefault="005C0D9D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программы по физичес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 вовлечение их в соревновательную деятельность.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физическая подготовка».</w:t>
      </w:r>
    </w:p>
    <w:p w:rsidR="005C0D9D" w:rsidRDefault="006F673B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часов, рекомендованных для изучения физической культуры, в 11 классе – 68 часов (2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5C0D9D" w:rsidRDefault="005C0D9D"/>
    <w:p w:rsidR="005C0D9D" w:rsidRDefault="005C0D9D"/>
    <w:p w:rsidR="005C0D9D" w:rsidRDefault="005C0D9D">
      <w:pPr>
        <w:sectPr w:rsidR="005C0D9D">
          <w:pgSz w:w="11906" w:h="16383"/>
          <w:pgMar w:top="1134" w:right="850" w:bottom="1134" w:left="1701" w:header="720" w:footer="720" w:gutter="0"/>
          <w:cols w:space="720"/>
        </w:sectPr>
      </w:pPr>
    </w:p>
    <w:p w:rsidR="005C0D9D" w:rsidRDefault="005C0D9D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=id.3znysh7" w:colFirst="0" w:colLast="0"/>
      <w:bookmarkEnd w:id="4"/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Знания о физической культуре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овременного человека.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иена, закаливание организма и банные процедуры как компоненты здорового образа жизни.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анении здоровья в разных возрастных периодах.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оровительной физической культурой.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Способы самостоятельной двигательной деятельности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приёмов и процедур, правила их проведения (методика Э. Джекобсона,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тогенная тренировка И. Шульца, дыхательная гимнастика А.Н. Стрельниковой,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синхрогимнастика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методу «Ключ»).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 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товки к выполнению требований комплекса «Готов к труду и обороне», способы определения направленности её тренировочных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Физическое совершенствование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Физкультурно-оздоровительная деятельность.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профилактики острых респираторных заболеваний, целлюлита, снижения массы тела. Способы индивидуализации содержания и физических нагрузок при планировании системной организации занятий кондиционной тренировкой.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Спортивно-оздоровительная деятельность.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дуль «Спортивные игры».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Футбол. Повторение правил игры в футбол,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Баскетбол. Повторение правил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Прикладно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-ориентированная двигательная деятельност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ь.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приёмы атлетических единоборств и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самостоятельного разучивания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самостраховка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стойки, захваты, броски).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соревновательных действий в стандартных и вариатив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игр.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Программа вариативного модуля «Базовая физическая подготовка».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Общая физическая подготовка.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Развитие силовых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 гимнастических снарядах (брусьях, перекладинах, гимнастической стенке и других).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лнительным отягощением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спрыгивание, прыжки через скакалку,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 канату, по гимнастической стенке с дополнительным отягощением). Переноска непредельных тяжестей (сверстников способом на спине). Подвижные игры с силовой направленностью (импровизированный баскетбол с набивным мячом и другое).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скоростных спосо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бностей.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 на месте в максимальном темпе (в упоре о гимнастическую стенку и без упора).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максимальной частотой прыжков. Преодоление полосы препятствий, включающей в себя прыжки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предметов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вынослив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ости.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режимах максимальной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субмаксимальной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интенсивности. Кроссовый бег и марш-бросок на лыжах.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Развитие координации движений.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 спортивные игры.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Развитие гибкости.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гимнастической палки).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Специальная физическая подготовка.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Модуль «Гимнастика»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гибкости. Наклон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Комплексы общеразвивающих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складка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мост).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прыжком, быстр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 скакалку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и с продвижением. Прыжки на точность отталкивания и приземления.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низкой переклад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зафиксированы) сгибан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различных исходных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«пистолетом» (с опорой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руку для сохранения равновесия).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упражнений с 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Модуль «Лёгкая атлетика»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выносливости. Бег с максимальной скоростью в режиме повторно-инте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авномерный бег с дополнительным отягощением в режиме «до отказа».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месте, с продвижением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препятствиями. Бег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скоростных способностей. Бег на месте с макси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«с ходу». Прыжки через скакалку 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аксимальном темпе. Ускорение, переходящее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переходящие в бег с ускорением. Подвижные и спортивные игры, эстафеты.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координации движений. Специализированные комплексы упражнений на развитие координации (разрабатываются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учебного материала модулей «Гимнастика» и «Спортивные игры»).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Модуль «Зимние виды спорта»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субмаксимальной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интенсивности, с соревновательной скоростью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координации. Упражнения в поворот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и спусках на лыжах, проезд через «ворота» и преодоление небольших трамплинов.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Модуль «Спортивные игры»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выполнением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Передвижения с ускорениями и максимальной скоростью приставными шагами левым и правым боко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колоннах. Кувырки вперёд, назад, боком с последующим рывком на 3–5 м. Подвижные и спортивные игры, эстафеты.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силовых способностей. Комплексы упражнений с дополнительным отягощением на основные мышечные группы. Ходьба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прыжки в глубоком приседе. Прыжки на одной ноге и обеих ногах с продвижением вперёд, по кругу, «змейкой», на месте с поворотом на 180 и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спрыгивание с последующим ускорением.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последующим ускорением и ускорение с последующим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Броски набивного мяча из различных исходных положений, с различной траекторией полёта одной рукой и обеими руками, стоя, сидя,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игры.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Ведение мяча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зменяющейся по команде скоростью и направлением передвижения.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ускорениями, «рывками», изменением направления передвижения. Бег в максимальном темпе. Бег и ходьба спиной вперёд с изменением темпа и направления движения (по прямой, по кругу, «змейкой»). Бег с максимальной скоростью с поворотами на 180 и 360. Прыжки 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дополнительным отягощением (вперёд, назад, в приседе, с продвижением вперёд).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  <w:sectPr w:rsidR="005C0D9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выносливости. Равномерный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ыжах в режиме большой и умеренной интенсивности.</w:t>
      </w:r>
    </w:p>
    <w:p w:rsidR="005C0D9D" w:rsidRDefault="006F673B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bookmark=id.tyjcwt" w:colFirst="0" w:colLast="0"/>
      <w:bookmarkStart w:id="6" w:name="_heading=h.2et92p0" w:colFirst="0" w:colLast="0"/>
      <w:bookmarkEnd w:id="5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C0D9D" w:rsidRDefault="005C0D9D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7" w:name="_heading=h.3dy6vkm" w:colFirst="0" w:colLast="0"/>
      <w:bookmarkEnd w:id="7"/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обучающегося будут сформированы следующие личностные результаты: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своих конституционных прав и обязанносте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уважение закона и правопорядка;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национальным признакам;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взаимодействовать с социальными институтами в соответствии с их функциями и назначение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гуманитарной и волонтёрской деятельности;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 язык и культуру, прошлое и настоящее многонационального народа России;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гиях, труде;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идейную убеждённость, готовность к служению и защите Отечества, ответственность за его судьбу;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духовных ценностей российского народа;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нравственного сознания, этического поведения;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личного вклада в построение устойчивого будущего;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чества, спорта, труда, общественных отношений;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убеждённость в значимости для личности и общества отечественного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мирового искусства, этнических культурных традиций и народного творчества;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здорового и безопасного образа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изни, ответственного отношения к своему здоровью;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потребность в физическом совершенствовании, занятиях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спортивно-оздоровительной деятельностью;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труду, осознание приобретённых умений и навыков, трудолюбие;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активной деятельности технологической и социальной направленности; способность инициировать, планировать и самостоятельно выполнять такую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экологиче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 осуществление действий в окружаю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среде на основе знания целей устойчивого развития человечества;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неприятие действий, приносящих вред окружающей среде;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прогнозировать неблагоприятные экологические последствия предпринимаемых действий, предотвращать их;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экологической направленности.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поликультурном мире;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ценности научной деятельности; готовность осуществлять проектную и исследовательскую деятельность индивидуально и в группе.</w:t>
      </w:r>
    </w:p>
    <w:p w:rsidR="005C0D9D" w:rsidRDefault="005C0D9D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8" w:name="_heading=h.1t3h5sf" w:colFirst="0" w:colLast="0"/>
      <w:bookmarkEnd w:id="8"/>
    </w:p>
    <w:p w:rsidR="005C0D9D" w:rsidRDefault="005C0D9D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4d34og8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физической культуры на уровне среднего общего образования у обучающегося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обучающегося будут сфор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мированы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следующие 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или основания для сравнения,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лассификации и обобщения;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закономерности и противоречия в рассматриваемых явлениях;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план решения проблемы с учётом анализа имеющихся материальных и нематериа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ресурсов;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креатив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мышление при решении жизненных проблем.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навыками учебно-исследовательской и проектной деятельности,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ситуациях (в том числе при создании учебных и социальных проектов);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научного типа мышления, владение научной терминол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огией, ключевыми понятиями и методами;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азательства своих утверждений, задавать параметры и критерии решения;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ситуациям, оценивать прио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бретённый опыт;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интегрировать знания из разных предметных областей;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познавательных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коммуникации во всех сферах жизни;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различными способами общения и взаимодействия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аргументированно вести диалог, уметь смягчать конфликтные ситуации;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самоорг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регулятивных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авлять план решения проблемы с учётом имеющихся ресурсов, собственных возможностей и предпочтений;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рамки учебного предмета на основе личных предпочтений;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осознанный выбор, аргументировать его, брать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 за решение;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приобретённый опыт;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и проявлению широкой эрудиции в разных областях знаний;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повышать свой образовательный и культурный уровень;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самоконтроля, принятия себя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регулятивных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познавательной рефлексии как осознанием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совершаемых действий и мыслительных процессов, их результатов и оснований;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приёмы рефлексии для оценки ситуации, выбора верного решения;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оценивать риски и своевременно принимать решения по их снижению;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себя, понимая свои недостатки и достоинства;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и право других на ошибки;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способность понимать мир с позиции другого человека.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часть коммуникативных универсальных учебных действий: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роли с учётом мнений участников, обсуждать результаты совместной работы;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новые проекты, оценивать идеи с позиции новизны, оригинальнос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практической значимости;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5C0D9D" w:rsidRDefault="005C0D9D">
      <w:pPr>
        <w:spacing w:after="0"/>
        <w:ind w:left="120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eading=h.2s8eyo1" w:colFirst="0" w:colLast="0"/>
      <w:bookmarkEnd w:id="10"/>
    </w:p>
    <w:p w:rsidR="005C0D9D" w:rsidRDefault="005C0D9D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C0D9D" w:rsidRDefault="006F673B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5C0D9D" w:rsidRDefault="005C0D9D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</w:p>
    <w:p w:rsidR="005C0D9D" w:rsidRDefault="006F673B">
      <w:pPr>
        <w:spacing w:after="0" w:line="264" w:lineRule="auto"/>
        <w:ind w:left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11 классе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получит следующие предметные резу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 по отдельным темам программы по физической культуре: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Раздел «Знания о физической культуре»: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тренировкой;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 оценивать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возм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ожные причины возникновения травм во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«Организация самостоятельных занятий»: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 оздоровительные мероприятия в режиме учебной и трудовой деятельности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самостоятельные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результатов в тестовых испытаниях.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Раздел «Физическое совершенствование»: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упражнений из современных систем оздоровительной физической культуры,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баскетбол);</w:t>
      </w:r>
    </w:p>
    <w:p w:rsidR="005C0D9D" w:rsidRDefault="006F673B">
      <w:pPr>
        <w:spacing w:after="0" w:line="264" w:lineRule="auto"/>
        <w:ind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комплексы физических упражнений на развитие основных физических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еств, демонстрировать ежегодные приросты в тестовых </w:t>
      </w:r>
      <w:bookmarkStart w:id="11" w:name="bookmark=id.17dp8vu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заданиях Комплекса «Готов к труду и обороне».</w:t>
      </w:r>
    </w:p>
    <w:p w:rsidR="005C0D9D" w:rsidRDefault="005C0D9D">
      <w:pPr>
        <w:spacing w:after="0" w:line="264" w:lineRule="auto"/>
        <w:ind w:firstLine="600"/>
      </w:pPr>
    </w:p>
    <w:p w:rsidR="005C0D9D" w:rsidRDefault="005C0D9D">
      <w:pPr>
        <w:spacing w:after="0" w:line="264" w:lineRule="auto"/>
        <w:ind w:firstLine="600"/>
      </w:pPr>
    </w:p>
    <w:p w:rsidR="005C0D9D" w:rsidRDefault="005C0D9D">
      <w:pPr>
        <w:spacing w:after="0" w:line="264" w:lineRule="auto"/>
        <w:ind w:firstLine="600"/>
        <w:sectPr w:rsidR="005C0D9D">
          <w:pgSz w:w="11906" w:h="16383"/>
          <w:pgMar w:top="1701" w:right="1134" w:bottom="850" w:left="1134" w:header="720" w:footer="720" w:gutter="0"/>
          <w:cols w:space="720"/>
        </w:sectPr>
      </w:pPr>
    </w:p>
    <w:p w:rsidR="005C0D9D" w:rsidRDefault="006F673B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ПОУРОЧНОЕ ПЛАНИРОВАНИЕ </w:t>
      </w:r>
    </w:p>
    <w:p w:rsidR="005C0D9D" w:rsidRDefault="006F673B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tbl>
      <w:tblPr>
        <w:tblStyle w:val="af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0"/>
        <w:gridCol w:w="3695"/>
        <w:gridCol w:w="1092"/>
        <w:gridCol w:w="2640"/>
        <w:gridCol w:w="2708"/>
        <w:gridCol w:w="3115"/>
      </w:tblGrid>
      <w:tr w:rsidR="005C0D9D">
        <w:trPr>
          <w:trHeight w:val="144"/>
        </w:trPr>
        <w:tc>
          <w:tcPr>
            <w:tcW w:w="7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3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6440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</w:tr>
      <w:tr w:rsidR="005C0D9D">
        <w:trPr>
          <w:trHeight w:val="144"/>
        </w:trPr>
        <w:tc>
          <w:tcPr>
            <w:tcW w:w="790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695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3115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C0D9D">
        <w:trPr>
          <w:trHeight w:val="144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1.Знания о физической культуре</w:t>
            </w:r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Здоровый образ жизни современного человека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0,25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7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0,25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8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8463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  <w:tr w:rsidR="005C0D9D">
        <w:trPr>
          <w:trHeight w:val="144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2.Способы самостоятельной двигательной деятельности</w:t>
            </w:r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0,25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9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.25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0,25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0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8463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  <w:tr w:rsidR="005C0D9D">
        <w:trPr>
          <w:trHeight w:val="144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5C0D9D">
        <w:trPr>
          <w:trHeight w:val="144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1.Физкультурно-оздоровительнаядеятельность</w:t>
            </w:r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оздоровительнаядеятельность</w:t>
            </w:r>
            <w:proofErr w:type="spellEnd"/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1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поразделу</w:t>
            </w:r>
            <w:proofErr w:type="spellEnd"/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463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  <w:tr w:rsidR="005C0D9D">
        <w:trPr>
          <w:trHeight w:val="144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2.Спортивно-оздоровительнаядеятельность</w:t>
            </w:r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Легкаяатлетика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3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16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2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Волейбол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3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«Гимнастика»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10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4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5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«Спортивные игры». Баскетбол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12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6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79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69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«Спортивные игры». Футбол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6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hyperlink r:id="rId17">
              <w:r>
                <w:rPr>
                  <w:color w:val="0563C1"/>
                  <w:u w:val="single"/>
                </w:rPr>
                <w:t>https://resh.edu.ru</w:t>
              </w:r>
            </w:hyperlink>
          </w:p>
        </w:tc>
      </w:tr>
      <w:tr w:rsidR="005C0D9D">
        <w:trPr>
          <w:trHeight w:val="144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опоразделу</w:t>
            </w:r>
            <w:proofErr w:type="spellEnd"/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66 </w:t>
            </w:r>
          </w:p>
        </w:tc>
        <w:tc>
          <w:tcPr>
            <w:tcW w:w="8463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  <w:tr w:rsidR="005C0D9D">
        <w:trPr>
          <w:trHeight w:val="144"/>
        </w:trPr>
        <w:tc>
          <w:tcPr>
            <w:tcW w:w="4485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</w:tbl>
    <w:p w:rsidR="005C0D9D" w:rsidRDefault="005C0D9D">
      <w:pPr>
        <w:sectPr w:rsidR="005C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D9D" w:rsidRDefault="006F673B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bookmark=id.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</w:p>
    <w:p w:rsidR="005C0D9D" w:rsidRDefault="006F673B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11 КЛАСС </w:t>
      </w:r>
    </w:p>
    <w:tbl>
      <w:tblPr>
        <w:tblStyle w:val="af0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3411"/>
        <w:gridCol w:w="728"/>
        <w:gridCol w:w="1921"/>
        <w:gridCol w:w="1968"/>
        <w:gridCol w:w="1378"/>
        <w:gridCol w:w="4089"/>
      </w:tblGrid>
      <w:tr w:rsidR="005C0D9D">
        <w:trPr>
          <w:trHeight w:val="144"/>
        </w:trPr>
        <w:tc>
          <w:tcPr>
            <w:tcW w:w="5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3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4617" w:type="dxa"/>
            <w:gridSpan w:val="3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40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</w:tr>
      <w:tr w:rsidR="005C0D9D">
        <w:trPr>
          <w:trHeight w:val="144"/>
        </w:trPr>
        <w:tc>
          <w:tcPr>
            <w:tcW w:w="545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411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5C0D9D" w:rsidRDefault="005C0D9D">
            <w:pPr>
              <w:spacing w:after="0"/>
              <w:ind w:left="135"/>
            </w:pPr>
          </w:p>
        </w:tc>
        <w:tc>
          <w:tcPr>
            <w:tcW w:w="1378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89" w:type="dxa"/>
            <w:vMerge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профессиональная деятельность человека. Вводный инструктаж по Т.Б. и О.Т. во время занятий физической культурой.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Высокийстарт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60-100 метров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t>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 во время самостоятельных занятий оздоровительной физической культурой и спортом. Бег 60 м. Развитие скоростных способностей. Прыжок в длину с места.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jc w:val="center"/>
            </w:pPr>
            <w:r>
              <w:t>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Оказание первой помощи при травмах и ушибах. Прыжок в длину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места .Бег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ускорениямиот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50-60м.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100 м. Прыжок в длину с разбега.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Метаниегранаты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4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Метаниегранаты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4неделя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гранаты. Равномерный бег до 8 мин.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5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3000 м -ю, 2000 м-д. Спортивные игры.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5неделя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ТБ и ОТ Передача мяча над собой.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Приемснизупарах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6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мяча. Прием мяча снизу после подачи. Волейбол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6неделя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подача. Передача мяча двумя руками через сетку.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7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удар, Нижняя прямая подача.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7неделя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волейбольного мяча в парах через сетку. Волейбол.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8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на уроках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гимнастики. Строевые упражнения. Бросок набивного мяча.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8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Акробатика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9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 Акробатика (висы, упоры. лазание по канату)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9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Акробатические упражнения. Лазание по канату в 2 приема.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10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Лазание по канату. Совершенствование акробатической комбинации.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10неделя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Акробатическая комбинация. Упражнения со скакалкой.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11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Поднимание туловища из положения лёжа. Акробатика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11неделя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Строеваяподготовка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АкробатикаПодтягивания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Опорный прыжок через козла. Подтягивание.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Развитиесиловыхспособностей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Опорныйпрыжокчерезкозла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13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через сетку. Прием подачи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13неделя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 волейболе. Волейбол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14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 волейболе. Учебная игра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14неделя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15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через сетку. Прием подачи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15неделя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игры волейбол. Основные правила.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16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16неделя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выполнения штрафного броска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17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17неделя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на уроках лыжной подготовки.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Совершенствованиетехникилыжныхходов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18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Переходы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18неделя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Переходы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19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Лыжнаягонка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3000-5000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19неделя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Попеременныйдвухшажныйход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20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Техникаодновременногобесшажногохода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20неделя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Одновременныйодношажныйход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21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Переход с одновременных на попеременные ходы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21неделя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Спуски. Подъемы. Повороты, торможение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Техника спуска подъема поворотов.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22неделя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техники лыжных ходов. Лыжная гонка 3000-5000м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23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Инструктаж по технике безопасности во время занятий спорт. играми.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Челночныйбег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Развитиекоординационныхкачеств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spacing w:after="0"/>
              <w:ind w:left="135"/>
              <w:jc w:val="center"/>
            </w:pP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23неделя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Историябаскетбола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24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с изменением скорости и направления.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Штрафныеброски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24неделя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мяча в движении. Броски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кольца.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25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Челночный бег с ведением мяча. Баскетбол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25неделя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Вырывание и выбивание мяча. Бросок по кольцу с места.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26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Нападение быстрым прорывом. Взаимодействие двух игроков.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26неделя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 в баскетболе тесты по ОФП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27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передач. Штрафные броски.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27неделя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приемов и передач. Челночный бег 3х10м.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28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технике безопасности на уроках легкой атлетикой. Прыжок в высоту с 3-5 шагов разбега.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28неделя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высоту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 с опорой на руку. Бег 30 м.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29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бег- 30- 100м с высокого старта.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29неделя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Метание гранаты.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30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Кроссовая подготовка Бег 3000м-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30неделя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 Метание учебной гранаты.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31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Прыжок в длину с разбега Метание учебной гранаты.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31неделя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Спринтерский бег- 30- 100м с высокого старта.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Спортивныеигры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32неделя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 средствами игры футбол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32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развитиевыносливостиигройфутбол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33неделя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силы средствами игры футбол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33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координационных способностей, быстроты средствами игры футбол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34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Ведениемячаногой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Футбол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ind w:left="135"/>
            </w:pPr>
            <w:r>
              <w:t>34 неделя</w:t>
            </w: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Историяфутбола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Правилаигры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0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spacing w:after="0"/>
              <w:ind w:left="135"/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545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1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ОФП. Футбол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spacing w:after="0"/>
              <w:ind w:left="135"/>
              <w:jc w:val="center"/>
            </w:pP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378" w:type="dxa"/>
            <w:tcMar>
              <w:top w:w="50" w:type="dxa"/>
              <w:left w:w="100" w:type="dxa"/>
            </w:tcMar>
            <w:vAlign w:val="center"/>
          </w:tcPr>
          <w:p w:rsidR="005C0D9D" w:rsidRDefault="005C0D9D">
            <w:pPr>
              <w:spacing w:after="0"/>
            </w:pPr>
          </w:p>
        </w:tc>
        <w:tc>
          <w:tcPr>
            <w:tcW w:w="4089" w:type="dxa"/>
            <w:tcMar>
              <w:top w:w="50" w:type="dxa"/>
              <w:left w:w="100" w:type="dxa"/>
            </w:tcMar>
          </w:tcPr>
          <w:p w:rsidR="005C0D9D" w:rsidRDefault="006F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Практическаяработа</w:t>
            </w:r>
            <w:proofErr w:type="spellEnd"/>
          </w:p>
        </w:tc>
      </w:tr>
      <w:tr w:rsidR="005C0D9D">
        <w:trPr>
          <w:trHeight w:val="144"/>
        </w:trPr>
        <w:tc>
          <w:tcPr>
            <w:tcW w:w="3956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8" w:type="dxa"/>
            <w:tcMar>
              <w:top w:w="50" w:type="dxa"/>
              <w:left w:w="100" w:type="dxa"/>
            </w:tcMar>
            <w:vAlign w:val="center"/>
          </w:tcPr>
          <w:p w:rsidR="005C0D9D" w:rsidRDefault="006F673B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67" w:type="dxa"/>
            <w:gridSpan w:val="2"/>
            <w:tcMar>
              <w:top w:w="50" w:type="dxa"/>
              <w:left w:w="100" w:type="dxa"/>
            </w:tcMar>
            <w:vAlign w:val="center"/>
          </w:tcPr>
          <w:p w:rsidR="005C0D9D" w:rsidRDefault="005C0D9D"/>
        </w:tc>
      </w:tr>
    </w:tbl>
    <w:p w:rsidR="005C0D9D" w:rsidRDefault="005C0D9D">
      <w:pPr>
        <w:sectPr w:rsidR="005C0D9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Учебники и пособия, которые входят в предметную линию учебников М. Я. </w:t>
      </w:r>
      <w:proofErr w:type="spellStart"/>
      <w:r>
        <w:rPr>
          <w:rFonts w:ascii="Times New Roman" w:eastAsia="Times New Roman" w:hAnsi="Times New Roman" w:cs="Times New Roman"/>
        </w:rPr>
        <w:t>Виленского</w:t>
      </w:r>
      <w:proofErr w:type="spellEnd"/>
      <w:r>
        <w:rPr>
          <w:rFonts w:ascii="Times New Roman" w:eastAsia="Times New Roman" w:hAnsi="Times New Roman" w:cs="Times New Roman"/>
        </w:rPr>
        <w:t>, В. И. Ляха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Физическая культура. 5—7 классы/Под редакцией М. Я. </w:t>
      </w:r>
      <w:proofErr w:type="spellStart"/>
      <w:r>
        <w:rPr>
          <w:rFonts w:ascii="Times New Roman" w:eastAsia="Times New Roman" w:hAnsi="Times New Roman" w:cs="Times New Roman"/>
        </w:rPr>
        <w:t>Виленского</w:t>
      </w:r>
      <w:proofErr w:type="spellEnd"/>
      <w:r>
        <w:rPr>
          <w:rFonts w:ascii="Times New Roman" w:eastAsia="Times New Roman" w:hAnsi="Times New Roman" w:cs="Times New Roman"/>
        </w:rPr>
        <w:t>. Учебник для общеобразовательных учреждений.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 Я. </w:t>
      </w:r>
      <w:proofErr w:type="spellStart"/>
      <w:r>
        <w:rPr>
          <w:rFonts w:ascii="Times New Roman" w:eastAsia="Times New Roman" w:hAnsi="Times New Roman" w:cs="Times New Roman"/>
        </w:rPr>
        <w:t>Виленский</w:t>
      </w:r>
      <w:proofErr w:type="spellEnd"/>
      <w:r>
        <w:rPr>
          <w:rFonts w:ascii="Times New Roman" w:eastAsia="Times New Roman" w:hAnsi="Times New Roman" w:cs="Times New Roman"/>
        </w:rPr>
        <w:t xml:space="preserve">, В. Т. </w:t>
      </w:r>
      <w:proofErr w:type="spellStart"/>
      <w:r>
        <w:rPr>
          <w:rFonts w:ascii="Times New Roman" w:eastAsia="Times New Roman" w:hAnsi="Times New Roman" w:cs="Times New Roman"/>
        </w:rPr>
        <w:t>Чичикин</w:t>
      </w:r>
      <w:proofErr w:type="spellEnd"/>
      <w:r>
        <w:rPr>
          <w:rFonts w:ascii="Times New Roman" w:eastAsia="Times New Roman" w:hAnsi="Times New Roman" w:cs="Times New Roman"/>
        </w:rPr>
        <w:t>. Физическая культура. 5—</w:t>
      </w:r>
      <w:r>
        <w:rPr>
          <w:rFonts w:ascii="Times New Roman" w:eastAsia="Times New Roman" w:hAnsi="Times New Roman" w:cs="Times New Roman"/>
        </w:rPr>
        <w:t xml:space="preserve">7 классы. Пособие для учителя/на сайте издательства по адресу: http://www.Drosv.ru/ebooks/Vilenskii </w:t>
      </w:r>
      <w:proofErr w:type="spellStart"/>
      <w:r>
        <w:rPr>
          <w:rFonts w:ascii="Times New Roman" w:eastAsia="Times New Roman" w:hAnsi="Times New Roman" w:cs="Times New Roman"/>
        </w:rPr>
        <w:t>Fiz-ra</w:t>
      </w:r>
      <w:proofErr w:type="spellEnd"/>
      <w:r>
        <w:rPr>
          <w:rFonts w:ascii="Times New Roman" w:eastAsia="Times New Roman" w:hAnsi="Times New Roman" w:cs="Times New Roman"/>
        </w:rPr>
        <w:t xml:space="preserve"> 5-7kl/</w:t>
      </w:r>
      <w:proofErr w:type="spellStart"/>
      <w:r>
        <w:rPr>
          <w:rFonts w:ascii="Times New Roman" w:eastAsia="Times New Roman" w:hAnsi="Times New Roman" w:cs="Times New Roman"/>
        </w:rPr>
        <w:t>indexhtml</w:t>
      </w:r>
      <w:proofErr w:type="spellEnd"/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И. Лях. Физическая культура. Тестовый контроль. 10—11 классы (серия «Текущий контроль»),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</w:rPr>
        <w:t>Колодницкий</w:t>
      </w:r>
      <w:proofErr w:type="spellEnd"/>
      <w:r>
        <w:rPr>
          <w:rFonts w:ascii="Times New Roman" w:eastAsia="Times New Roman" w:hAnsi="Times New Roman" w:cs="Times New Roman"/>
        </w:rPr>
        <w:t xml:space="preserve">, В. С. Кузнецов, М. В. </w:t>
      </w:r>
      <w:r>
        <w:rPr>
          <w:rFonts w:ascii="Times New Roman" w:eastAsia="Times New Roman" w:hAnsi="Times New Roman" w:cs="Times New Roman"/>
        </w:rPr>
        <w:t>Маслов. Внеурочная деятельность учащихся. Волейбол (серия «Работаем по новым стандартам»)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Лях В.И., Физическая культура. 10-11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.:</w:t>
      </w:r>
      <w:proofErr w:type="gramEnd"/>
      <w:r>
        <w:rPr>
          <w:rFonts w:ascii="Times New Roman" w:eastAsia="Times New Roman" w:hAnsi="Times New Roman" w:cs="Times New Roman"/>
        </w:rPr>
        <w:t xml:space="preserve"> учеб, для </w:t>
      </w:r>
      <w:proofErr w:type="spellStart"/>
      <w:r>
        <w:rPr>
          <w:rFonts w:ascii="Times New Roman" w:eastAsia="Times New Roman" w:hAnsi="Times New Roman" w:cs="Times New Roman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</w:rPr>
        <w:t xml:space="preserve">. Организаций: базовый уровень / В.И. Лях. – 6-е изд. – М.: Просвещение, 2018.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М. Я. </w:t>
      </w:r>
      <w:proofErr w:type="spellStart"/>
      <w:r>
        <w:rPr>
          <w:rFonts w:ascii="Times New Roman" w:eastAsia="Times New Roman" w:hAnsi="Times New Roman" w:cs="Times New Roman"/>
        </w:rPr>
        <w:t>Виленский</w:t>
      </w:r>
      <w:proofErr w:type="spellEnd"/>
      <w:r>
        <w:rPr>
          <w:rFonts w:ascii="Times New Roman" w:eastAsia="Times New Roman" w:hAnsi="Times New Roman" w:cs="Times New Roman"/>
        </w:rPr>
        <w:t xml:space="preserve">, В. Т. </w:t>
      </w:r>
      <w:proofErr w:type="spellStart"/>
      <w:r>
        <w:rPr>
          <w:rFonts w:ascii="Times New Roman" w:eastAsia="Times New Roman" w:hAnsi="Times New Roman" w:cs="Times New Roman"/>
        </w:rPr>
        <w:t>Чичикин</w:t>
      </w:r>
      <w:proofErr w:type="spellEnd"/>
      <w:r>
        <w:rPr>
          <w:rFonts w:ascii="Times New Roman" w:eastAsia="Times New Roman" w:hAnsi="Times New Roman" w:cs="Times New Roman"/>
        </w:rPr>
        <w:t xml:space="preserve">. Физическая культура. 10 -11 классы. Пособие для учителя/на сайте издательства по адресу: http://www.Drosv.ru/ebooks/Vilenskii </w:t>
      </w:r>
      <w:proofErr w:type="spellStart"/>
      <w:r>
        <w:rPr>
          <w:rFonts w:ascii="Times New Roman" w:eastAsia="Times New Roman" w:hAnsi="Times New Roman" w:cs="Times New Roman"/>
        </w:rPr>
        <w:t>Fiz-ra</w:t>
      </w:r>
      <w:proofErr w:type="spellEnd"/>
      <w:r>
        <w:rPr>
          <w:rFonts w:ascii="Times New Roman" w:eastAsia="Times New Roman" w:hAnsi="Times New Roman" w:cs="Times New Roman"/>
        </w:rPr>
        <w:t xml:space="preserve"> 5-7kl/</w:t>
      </w:r>
      <w:proofErr w:type="spellStart"/>
      <w:r>
        <w:rPr>
          <w:rFonts w:ascii="Times New Roman" w:eastAsia="Times New Roman" w:hAnsi="Times New Roman" w:cs="Times New Roman"/>
        </w:rPr>
        <w:t>indexhtml</w:t>
      </w:r>
      <w:proofErr w:type="spellEnd"/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В. И. Лях. Физическая культура. Тестовый</w:t>
      </w:r>
      <w:r>
        <w:rPr>
          <w:rFonts w:ascii="Times New Roman" w:eastAsia="Times New Roman" w:hAnsi="Times New Roman" w:cs="Times New Roman"/>
        </w:rPr>
        <w:t xml:space="preserve"> контроль. 5—9 классы (серия «Текущий контроль»),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</w:rPr>
        <w:t>Колодницкий</w:t>
      </w:r>
      <w:proofErr w:type="spellEnd"/>
      <w:r>
        <w:rPr>
          <w:rFonts w:ascii="Times New Roman" w:eastAsia="Times New Roman" w:hAnsi="Times New Roman" w:cs="Times New Roman"/>
        </w:rPr>
        <w:t>, В. С. Кузнецов, М. В. Маслов. Внеурочная деятельность учащихся. Футбол (серия «Работаем по новым стандартам»).</w:t>
      </w:r>
    </w:p>
    <w:p w:rsidR="005C0D9D" w:rsidRDefault="006F673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А. </w:t>
      </w:r>
      <w:proofErr w:type="spellStart"/>
      <w:r>
        <w:rPr>
          <w:rFonts w:ascii="Times New Roman" w:eastAsia="Times New Roman" w:hAnsi="Times New Roman" w:cs="Times New Roman"/>
        </w:rPr>
        <w:t>Колодницкий</w:t>
      </w:r>
      <w:proofErr w:type="spellEnd"/>
      <w:r>
        <w:rPr>
          <w:rFonts w:ascii="Times New Roman" w:eastAsia="Times New Roman" w:hAnsi="Times New Roman" w:cs="Times New Roman"/>
        </w:rPr>
        <w:t>, В. С. Кузнецов, М. В. Маслов. Внеурочная деятельность учащихся. Волейбол (серия «Работаем по новым стандартам»)</w:t>
      </w:r>
    </w:p>
    <w:p w:rsidR="005C0D9D" w:rsidRDefault="006F673B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  <w:sectPr w:rsidR="005C0D9D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Федеральный закон «0 физической культуре и спорте</w:t>
      </w:r>
    </w:p>
    <w:p w:rsidR="005C0D9D" w:rsidRDefault="005C0D9D">
      <w:bookmarkStart w:id="13" w:name="_heading=h.26in1rg" w:colFirst="0" w:colLast="0"/>
      <w:bookmarkEnd w:id="13"/>
    </w:p>
    <w:sectPr w:rsidR="005C0D9D">
      <w:pgSz w:w="16383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52856"/>
    <w:multiLevelType w:val="multilevel"/>
    <w:tmpl w:val="5EB0DB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9D"/>
    <w:rsid w:val="005C0D9D"/>
    <w:rsid w:val="006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4EB2C-2703-4C84-9B1D-49BDAD7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5B9BD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5AE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F5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ae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7X/ts2X4aXSJqguauutKlzcjKQ==">CgMxLjAyCWlkLmdqZGd4czIKaWQuMzBqMHpsbDIKaWQuMWZvYjl0ZTIKaWQuM3pueXNoNzIJaWQudHlqY3d0MgloLjJldDkycDAyCWguM2R5NnZrbTIJaC4xdDNoNXNmMgloLjRkMzRvZzgyCWguMnM4ZXlvMTIKaWQuMTdkcDh2dTIKaWQuM3JkY3JqbjIJaC4yNmluMXJnOAByITFmckNsYktIa04yeGlTWUtMd0xDb1NoeXNuT3VLd0NhVA==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7210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Иванова</dc:creator>
  <cp:lastModifiedBy>User</cp:lastModifiedBy>
  <cp:revision>2</cp:revision>
  <dcterms:created xsi:type="dcterms:W3CDTF">2023-10-03T05:57:00Z</dcterms:created>
  <dcterms:modified xsi:type="dcterms:W3CDTF">2023-10-03T05:57:00Z</dcterms:modified>
</cp:coreProperties>
</file>